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57773" w:rsidRDefault="00657773"/>
    <w:p w14:paraId="00000002" w14:textId="77777777" w:rsidR="00657773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Arial" w:eastAsia="Arial" w:hAnsi="Arial" w:cs="Arial"/>
          <w:color w:val="2F5496"/>
        </w:rPr>
      </w:pPr>
      <w:r>
        <w:rPr>
          <w:rFonts w:ascii="Arial" w:eastAsia="Arial" w:hAnsi="Arial" w:cs="Arial"/>
          <w:color w:val="2F5496"/>
        </w:rPr>
        <w:t>Anexo 02.2 – ESPECIFICAÇÕES TÉCNICAS DO SERVIÇO DE INTERNET SATELITAL</w:t>
      </w:r>
    </w:p>
    <w:p w14:paraId="00000003" w14:textId="77777777" w:rsidR="00657773" w:rsidRDefault="00657773">
      <w:pPr>
        <w:jc w:val="center"/>
        <w:rPr>
          <w:rFonts w:ascii="Arial" w:eastAsia="Arial" w:hAnsi="Arial" w:cs="Arial"/>
          <w:b/>
        </w:rPr>
      </w:pPr>
      <w:bookmarkStart w:id="0" w:name="_heading=h.b9t8tcp3azs2" w:colFirst="0" w:colLast="0"/>
      <w:bookmarkEnd w:id="0"/>
    </w:p>
    <w:p w14:paraId="00000004" w14:textId="77777777" w:rsidR="00657773" w:rsidRDefault="00000000">
      <w:pPr>
        <w:numPr>
          <w:ilvl w:val="0"/>
          <w:numId w:val="2"/>
        </w:numPr>
        <w:spacing w:line="276" w:lineRule="auto"/>
        <w:jc w:val="both"/>
      </w:pPr>
      <w:r>
        <w:rPr>
          <w:rFonts w:ascii="Arial" w:eastAsia="Arial" w:hAnsi="Arial" w:cs="Arial"/>
        </w:rPr>
        <w:t xml:space="preserve"> Os equipamentos fornecidos na solução devem ser novos e sem uso anterior. O modelo ofertado deverá estar em linha de produção e deverá ser entregue lacrado nas caixas originais do fabricante do equipamento;</w:t>
      </w:r>
    </w:p>
    <w:p w14:paraId="00000005" w14:textId="77777777" w:rsidR="006577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bookmarkStart w:id="1" w:name="_heading=h.wnyagw" w:colFirst="0" w:colLast="0"/>
      <w:bookmarkEnd w:id="1"/>
      <w:r>
        <w:rPr>
          <w:rFonts w:ascii="Arial" w:eastAsia="Arial" w:hAnsi="Arial" w:cs="Arial"/>
          <w:color w:val="000000"/>
        </w:rPr>
        <w:t>A solução de conexão satelital de baixa órbita a ser apresentada pela proponente deve ser composta dos seguintes itens:</w:t>
      </w:r>
    </w:p>
    <w:p w14:paraId="00000006" w14:textId="77777777" w:rsidR="00657773" w:rsidRDefault="00000000">
      <w:pPr>
        <w:numPr>
          <w:ilvl w:val="1"/>
          <w:numId w:val="2"/>
        </w:numPr>
        <w:spacing w:line="276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Kit de conectividade, composto por antena, roteador/modem e fonte de energia, e que deve possuir interface(s) que permita(m) a sua conexão por entrada ethernet a equipamento de segurança digital, para fins de interconexão, de gerenciamento remoto e suporte da solução.</w:t>
      </w:r>
    </w:p>
    <w:p w14:paraId="00000007" w14:textId="77777777" w:rsidR="00657773" w:rsidRDefault="00000000">
      <w:pPr>
        <w:numPr>
          <w:ilvl w:val="1"/>
          <w:numId w:val="2"/>
        </w:numPr>
        <w:spacing w:line="276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Serviço de avaliação técnica, planejamento e instalação dos kits de conectividade, com disponibilização do serviço de subscrição do tráfego, de forma a deixar a solução operacional.</w:t>
      </w:r>
    </w:p>
    <w:p w14:paraId="00000008" w14:textId="77777777" w:rsidR="00657773" w:rsidRDefault="00000000">
      <w:pPr>
        <w:numPr>
          <w:ilvl w:val="1"/>
          <w:numId w:val="2"/>
        </w:numPr>
        <w:spacing w:line="276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Serviço de manutenção da solução e operação dos equipamentos que a compõem, </w:t>
      </w:r>
      <w:r>
        <w:rPr>
          <w:rFonts w:ascii="Arial" w:eastAsia="Arial" w:hAnsi="Arial" w:cs="Arial"/>
          <w:highlight w:val="white"/>
        </w:rPr>
        <w:t>de acordo com os projetos técnicos preliminares e definitivos (PPI e PDI)</w:t>
      </w:r>
      <w:r>
        <w:rPr>
          <w:rFonts w:ascii="Arial" w:eastAsia="Arial" w:hAnsi="Arial" w:cs="Arial"/>
        </w:rPr>
        <w:t>, respeitando as determinações constantes deste termo de referência.</w:t>
      </w:r>
    </w:p>
    <w:p w14:paraId="00000009" w14:textId="77777777" w:rsidR="006577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solução proposta deve garantir as seguintes premissas técnicas e negociais conforme características a seguir:</w:t>
      </w:r>
    </w:p>
    <w:p w14:paraId="0000000A" w14:textId="77777777" w:rsidR="00657773" w:rsidRDefault="00000000">
      <w:pPr>
        <w:numPr>
          <w:ilvl w:val="1"/>
          <w:numId w:val="2"/>
        </w:numPr>
        <w:spacing w:line="276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u w:val="single"/>
        </w:rPr>
        <w:t>Subscrição de 01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>TB de tráfego mensal de conectividade:</w:t>
      </w:r>
    </w:p>
    <w:p w14:paraId="0000000B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Deve-se permitir acesso à internet de até 350 Mbps para download;</w:t>
      </w:r>
    </w:p>
    <w:p w14:paraId="0000000C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Deve-se garantir acesso à internet mínima de aproximadamente 80 Mbps para download;</w:t>
      </w:r>
    </w:p>
    <w:p w14:paraId="0000000D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Deve-se permitir acesso à internet de até 40 Mbps para upload;</w:t>
      </w:r>
    </w:p>
    <w:p w14:paraId="0000000E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Deve-se garantir acesso à internet mínima de aproximadamente 20 Mbps para upload;</w:t>
      </w:r>
    </w:p>
    <w:p w14:paraId="0000000F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Deve-se operar com latência média na ordem de 40ms, sendo a latência máxima de 80ms;</w:t>
      </w:r>
    </w:p>
    <w:p w14:paraId="00000010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Deve-se garantir as taxas de 01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>TB de tráfego mensal.</w:t>
      </w:r>
      <w:sdt>
        <w:sdtPr>
          <w:tag w:val="goog_rdk_0"/>
          <w:id w:val="-1588755960"/>
        </w:sdtPr>
        <w:sdtContent/>
      </w:sdt>
      <w:sdt>
        <w:sdtPr>
          <w:tag w:val="goog_rdk_1"/>
          <w:id w:val="-409071444"/>
        </w:sdtPr>
        <w:sdtContent/>
      </w:sdt>
    </w:p>
    <w:p w14:paraId="00000011" w14:textId="77777777" w:rsidR="00657773" w:rsidRDefault="00000000">
      <w:pPr>
        <w:numPr>
          <w:ilvl w:val="1"/>
          <w:numId w:val="2"/>
        </w:numPr>
        <w:spacing w:line="276" w:lineRule="auto"/>
        <w:ind w:left="708" w:hanging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solução deve ser baseada em antena com </w:t>
      </w:r>
      <w:proofErr w:type="spellStart"/>
      <w:r>
        <w:rPr>
          <w:rFonts w:ascii="Arial" w:eastAsia="Arial" w:hAnsi="Arial" w:cs="Arial"/>
        </w:rPr>
        <w:t>auto-orientação</w:t>
      </w:r>
      <w:proofErr w:type="spellEnd"/>
      <w:r>
        <w:rPr>
          <w:rFonts w:ascii="Arial" w:eastAsia="Arial" w:hAnsi="Arial" w:cs="Arial"/>
        </w:rPr>
        <w:t xml:space="preserve"> e operação automatizada, com capacidade para rastreamento contínuo de satélites de baixa órbita e com robustez adequada para instalação externa. Poderá ser utilizada tecnologia de matriz faseada ou solução equivalente, desde que atenda aos requisitos operacionais de latência, disponibilidade e resistência ambiental estabelecidos neste Termo.</w:t>
      </w:r>
    </w:p>
    <w:p w14:paraId="00000012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Auto-orientação</w:t>
      </w:r>
      <w:proofErr w:type="spellEnd"/>
      <w:r>
        <w:rPr>
          <w:rFonts w:ascii="Arial" w:eastAsia="Arial" w:hAnsi="Arial" w:cs="Arial"/>
        </w:rPr>
        <w:t xml:space="preserve"> motorizada;</w:t>
      </w:r>
    </w:p>
    <w:p w14:paraId="00000013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Classificação ambiental para IP56;</w:t>
      </w:r>
    </w:p>
    <w:p w14:paraId="00000014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Capacidade de derretimento de gelo até 75 mm / hora (3pol. / hora);</w:t>
      </w:r>
    </w:p>
    <w:p w14:paraId="00000015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Temperatura de operação de -30 °C a 50 °C (-22 </w:t>
      </w:r>
      <w:proofErr w:type="spellStart"/>
      <w:r>
        <w:rPr>
          <w:rFonts w:ascii="Arial" w:eastAsia="Arial" w:hAnsi="Arial" w:cs="Arial"/>
        </w:rPr>
        <w:t>ºF</w:t>
      </w:r>
      <w:proofErr w:type="spellEnd"/>
      <w:r>
        <w:rPr>
          <w:rFonts w:ascii="Arial" w:eastAsia="Arial" w:hAnsi="Arial" w:cs="Arial"/>
        </w:rPr>
        <w:t xml:space="preserve"> a 122 </w:t>
      </w:r>
      <w:proofErr w:type="spellStart"/>
      <w:r>
        <w:rPr>
          <w:rFonts w:ascii="Arial" w:eastAsia="Arial" w:hAnsi="Arial" w:cs="Arial"/>
        </w:rPr>
        <w:t>ºF</w:t>
      </w:r>
      <w:proofErr w:type="spellEnd"/>
      <w:r>
        <w:rPr>
          <w:rFonts w:ascii="Arial" w:eastAsia="Arial" w:hAnsi="Arial" w:cs="Arial"/>
        </w:rPr>
        <w:t>);</w:t>
      </w:r>
    </w:p>
    <w:p w14:paraId="00000016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Campo de visão de 140 Graus;</w:t>
      </w:r>
    </w:p>
    <w:p w14:paraId="00000017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Consumo médio de energia entre 110</w:t>
      </w:r>
      <w:proofErr w:type="gramStart"/>
      <w:r>
        <w:rPr>
          <w:rFonts w:ascii="Arial" w:eastAsia="Arial" w:hAnsi="Arial" w:cs="Arial"/>
        </w:rPr>
        <w:t>-</w:t>
      </w:r>
      <w:proofErr w:type="gramEnd"/>
      <w:r>
        <w:rPr>
          <w:rFonts w:ascii="Arial" w:eastAsia="Arial" w:hAnsi="Arial" w:cs="Arial"/>
        </w:rPr>
        <w:t>150W.</w:t>
      </w:r>
    </w:p>
    <w:p w14:paraId="00000018" w14:textId="77777777" w:rsidR="00657773" w:rsidRDefault="00000000">
      <w:pPr>
        <w:numPr>
          <w:ilvl w:val="1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Roteador da solução de satélite:</w:t>
      </w:r>
    </w:p>
    <w:p w14:paraId="00000019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Tecnología</w:t>
      </w:r>
      <w:proofErr w:type="spellEnd"/>
      <w:r>
        <w:rPr>
          <w:rFonts w:ascii="Arial" w:eastAsia="Arial" w:hAnsi="Arial" w:cs="Arial"/>
        </w:rPr>
        <w:t xml:space="preserve"> Wi-Fi Normas IEEE 802.11a/b/g/n/ac;</w:t>
      </w:r>
    </w:p>
    <w:p w14:paraId="0000001A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Chipset Wi-Fi 5 com Rádio de Banda Dupla – 3 x 3 MIMO;</w:t>
      </w:r>
    </w:p>
    <w:p w14:paraId="0000001B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Segurança do tipo WPA2;</w:t>
      </w:r>
    </w:p>
    <w:p w14:paraId="0000001C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Classificação Ambiental IP54, configurado para uso interno;</w:t>
      </w:r>
    </w:p>
    <w:p w14:paraId="0000001D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Alcance até 185 m² (2000 pés quadrados);</w:t>
      </w:r>
    </w:p>
    <w:p w14:paraId="0000001E" w14:textId="77777777" w:rsidR="00657773" w:rsidRDefault="00000000">
      <w:pPr>
        <w:numPr>
          <w:ilvl w:val="2"/>
          <w:numId w:val="2"/>
        </w:numPr>
        <w:spacing w:line="276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Temperatura de Operação de -30 °C a 50 °C (-22 </w:t>
      </w:r>
      <w:proofErr w:type="spellStart"/>
      <w:r>
        <w:rPr>
          <w:rFonts w:ascii="Arial" w:eastAsia="Arial" w:hAnsi="Arial" w:cs="Arial"/>
        </w:rPr>
        <w:t>°F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</w:t>
      </w:r>
      <w:proofErr w:type="spellEnd"/>
      <w:r>
        <w:rPr>
          <w:rFonts w:ascii="Arial" w:eastAsia="Arial" w:hAnsi="Arial" w:cs="Arial"/>
        </w:rPr>
        <w:t xml:space="preserve"> 122 </w:t>
      </w:r>
      <w:proofErr w:type="spellStart"/>
      <w:r>
        <w:rPr>
          <w:rFonts w:ascii="Arial" w:eastAsia="Arial" w:hAnsi="Arial" w:cs="Arial"/>
        </w:rPr>
        <w:t>°F</w:t>
      </w:r>
      <w:proofErr w:type="spellEnd"/>
      <w:r>
        <w:rPr>
          <w:rFonts w:ascii="Arial" w:eastAsia="Arial" w:hAnsi="Arial" w:cs="Arial"/>
        </w:rPr>
        <w:t>).</w:t>
      </w:r>
    </w:p>
    <w:p w14:paraId="0000001F" w14:textId="77777777" w:rsidR="00657773" w:rsidRDefault="00000000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Disponibilidade do serviço:</w:t>
      </w:r>
    </w:p>
    <w:p w14:paraId="00000020" w14:textId="77777777" w:rsidR="00657773" w:rsidRDefault="00000000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serviço ofertado deverá operar no regime 24x7 (vinte e quatro horas por dia, 07 dias por semana), durante todos os dias do ano;</w:t>
      </w:r>
    </w:p>
    <w:p w14:paraId="00000021" w14:textId="77777777" w:rsidR="00657773" w:rsidRDefault="00000000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FF0000"/>
        </w:rPr>
      </w:pPr>
      <w:bookmarkStart w:id="2" w:name="_heading=h.gjdgxs" w:colFirst="0" w:colLast="0"/>
      <w:bookmarkEnd w:id="2"/>
      <w:r>
        <w:rPr>
          <w:rFonts w:ascii="Arial" w:eastAsia="Arial" w:hAnsi="Arial" w:cs="Arial"/>
          <w:color w:val="FF0000"/>
        </w:rPr>
        <w:t>O índice de disponibilidade mensal (IDM) do serviço, corresponde ao percentual de tempo, durante o período de um mês de operação, em que o referido serviço venha a permanecer em condições normais de funcionamento e com a utilização plena da capacidade de tráfego de dados (largura de banda) dos enlaces e serviços agregados;</w:t>
      </w:r>
    </w:p>
    <w:p w14:paraId="00000022" w14:textId="77777777" w:rsidR="0065777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709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O índice de disponibilidade mensal (IDM) deverá ser igual ou superior a </w:t>
      </w:r>
      <w:sdt>
        <w:sdtPr>
          <w:tag w:val="goog_rdk_2"/>
          <w:id w:val="696167966"/>
        </w:sdtPr>
        <w:sdtContent/>
      </w:sdt>
      <w:r>
        <w:rPr>
          <w:rFonts w:ascii="Arial" w:eastAsia="Arial" w:hAnsi="Arial" w:cs="Arial"/>
          <w:color w:val="FF0000"/>
        </w:rPr>
        <w:t>96% e deverá ser calculado com base na seguinte fórmula:</w:t>
      </w:r>
    </w:p>
    <w:p w14:paraId="00000023" w14:textId="77777777" w:rsidR="00657773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hanging="851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IDM=[(</w:t>
      </w:r>
      <w:proofErr w:type="spellStart"/>
      <w:r>
        <w:rPr>
          <w:rFonts w:ascii="Arial" w:eastAsia="Arial" w:hAnsi="Arial" w:cs="Arial"/>
          <w:color w:val="FF0000"/>
        </w:rPr>
        <w:t>To-</w:t>
      </w:r>
      <w:proofErr w:type="gramStart"/>
      <w:r>
        <w:rPr>
          <w:rFonts w:ascii="Arial" w:eastAsia="Arial" w:hAnsi="Arial" w:cs="Arial"/>
          <w:color w:val="FF0000"/>
        </w:rPr>
        <w:t>Ti</w:t>
      </w:r>
      <w:proofErr w:type="spellEnd"/>
      <w:r>
        <w:rPr>
          <w:rFonts w:ascii="Arial" w:eastAsia="Arial" w:hAnsi="Arial" w:cs="Arial"/>
          <w:color w:val="FF0000"/>
        </w:rPr>
        <w:t>)/</w:t>
      </w:r>
      <w:proofErr w:type="spellStart"/>
      <w:r>
        <w:rPr>
          <w:rFonts w:ascii="Arial" w:eastAsia="Arial" w:hAnsi="Arial" w:cs="Arial"/>
          <w:color w:val="FF0000"/>
        </w:rPr>
        <w:t>To</w:t>
      </w:r>
      <w:proofErr w:type="spellEnd"/>
      <w:r>
        <w:rPr>
          <w:rFonts w:ascii="Arial" w:eastAsia="Arial" w:hAnsi="Arial" w:cs="Arial"/>
          <w:color w:val="FF0000"/>
        </w:rPr>
        <w:t>]*</w:t>
      </w:r>
      <w:proofErr w:type="gramEnd"/>
      <w:r>
        <w:rPr>
          <w:rFonts w:ascii="Arial" w:eastAsia="Arial" w:hAnsi="Arial" w:cs="Arial"/>
          <w:color w:val="FF0000"/>
        </w:rPr>
        <w:t xml:space="preserve"> 100, onde:</w:t>
      </w:r>
    </w:p>
    <w:p w14:paraId="00000024" w14:textId="77777777" w:rsidR="00657773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hanging="1134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IDM = índice de disponibilidade mensal do serviço em %.</w:t>
      </w:r>
    </w:p>
    <w:p w14:paraId="00000025" w14:textId="77777777" w:rsidR="00657773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hanging="1134"/>
        <w:jc w:val="both"/>
        <w:rPr>
          <w:rFonts w:ascii="Arial" w:eastAsia="Arial" w:hAnsi="Arial" w:cs="Arial"/>
          <w:color w:val="FF0000"/>
        </w:rPr>
      </w:pPr>
      <w:proofErr w:type="spellStart"/>
      <w:r>
        <w:rPr>
          <w:rFonts w:ascii="Arial" w:eastAsia="Arial" w:hAnsi="Arial" w:cs="Arial"/>
          <w:color w:val="FF0000"/>
        </w:rPr>
        <w:t>To</w:t>
      </w:r>
      <w:proofErr w:type="spellEnd"/>
      <w:r>
        <w:rPr>
          <w:rFonts w:ascii="Arial" w:eastAsia="Arial" w:hAnsi="Arial" w:cs="Arial"/>
          <w:color w:val="FF0000"/>
        </w:rPr>
        <w:t xml:space="preserve"> = período de operação (um mês) em minutos.</w:t>
      </w:r>
    </w:p>
    <w:p w14:paraId="00000026" w14:textId="77777777" w:rsidR="00657773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hanging="1134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Ti = somatório dos tempos de inoperância (interrupções/falta de conectividade e indisponibilidade da coleta de dados de gerência) durante o período de operação (um mês) em minutos</w:t>
      </w:r>
    </w:p>
    <w:p w14:paraId="00000027" w14:textId="77777777" w:rsidR="0065777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A PROPONENTE deverá disponibilizar dashboard online que permita visualizar em tempo real e com capacidade de gerar relatórios customizáveis das seguintes informações:</w:t>
      </w:r>
    </w:p>
    <w:p w14:paraId="00000028" w14:textId="77777777" w:rsidR="0065777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Tráfego de dados total, por localidade e por período. Distinguindo entre download e upload;</w:t>
      </w:r>
    </w:p>
    <w:p w14:paraId="00000029" w14:textId="77777777" w:rsidR="0065777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Tráfego de dados médio por </w:t>
      </w:r>
      <w:proofErr w:type="spellStart"/>
      <w:r>
        <w:rPr>
          <w:rFonts w:ascii="Arial" w:eastAsia="Arial" w:hAnsi="Arial" w:cs="Arial"/>
          <w:color w:val="FF0000"/>
        </w:rPr>
        <w:t>por</w:t>
      </w:r>
      <w:proofErr w:type="spellEnd"/>
      <w:r>
        <w:rPr>
          <w:rFonts w:ascii="Arial" w:eastAsia="Arial" w:hAnsi="Arial" w:cs="Arial"/>
          <w:color w:val="FF0000"/>
        </w:rPr>
        <w:t xml:space="preserve"> localidade e por período. Distinguindo entre download e upload;</w:t>
      </w:r>
    </w:p>
    <w:p w14:paraId="0000002A" w14:textId="77777777" w:rsidR="0065777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lastRenderedPageBreak/>
        <w:t>Tempo médio de sessão total, por localidade e por período;</w:t>
      </w:r>
    </w:p>
    <w:p w14:paraId="0000002B" w14:textId="77777777" w:rsidR="0065777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 Número de sessões total, por localidade e por período;</w:t>
      </w:r>
    </w:p>
    <w:p w14:paraId="0000002C" w14:textId="77777777" w:rsidR="0065777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 Quantidade total de horas conectadas por localidade;</w:t>
      </w:r>
    </w:p>
    <w:p w14:paraId="0000002D" w14:textId="77777777" w:rsidR="0065777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 Pontos de conexão ativos / inativos;</w:t>
      </w:r>
    </w:p>
    <w:p w14:paraId="0000002E" w14:textId="77777777" w:rsidR="0065777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 Latência, por localidade e por período;</w:t>
      </w:r>
    </w:p>
    <w:p w14:paraId="0000002F" w14:textId="77777777" w:rsidR="0065777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Arial" w:eastAsia="Arial" w:hAnsi="Arial" w:cs="Arial"/>
          <w:color w:val="FF0000"/>
        </w:rPr>
      </w:pPr>
      <w:proofErr w:type="spellStart"/>
      <w:r>
        <w:rPr>
          <w:rFonts w:ascii="Arial" w:eastAsia="Arial" w:hAnsi="Arial" w:cs="Arial"/>
          <w:color w:val="FF0000"/>
        </w:rPr>
        <w:t>Jitter</w:t>
      </w:r>
      <w:proofErr w:type="spellEnd"/>
      <w:r>
        <w:rPr>
          <w:rFonts w:ascii="Arial" w:eastAsia="Arial" w:hAnsi="Arial" w:cs="Arial"/>
          <w:color w:val="FF0000"/>
        </w:rPr>
        <w:t>, por localidade e por período;</w:t>
      </w:r>
    </w:p>
    <w:p w14:paraId="00000030" w14:textId="77777777" w:rsidR="00657773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09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Perda de pacotes por localidade, por período.</w:t>
      </w:r>
    </w:p>
    <w:p w14:paraId="00000031" w14:textId="77777777" w:rsidR="00657773" w:rsidRDefault="00657773">
      <w:pPr>
        <w:rPr>
          <w:color w:val="FF0000"/>
          <w:sz w:val="20"/>
          <w:szCs w:val="20"/>
        </w:rPr>
      </w:pPr>
    </w:p>
    <w:sectPr w:rsidR="00657773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1" w:fontKey="{9514107C-6A93-4C03-BA61-8A6B835657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150899-45CB-4339-8B76-AC6573E83916}"/>
    <w:embedBold r:id="rId3" w:fontKey="{EE806D3E-39A3-4C89-9A44-7768BD31DA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4D7921F6-A5B6-46B3-94C9-3CF6CD187D00}"/>
  </w:font>
  <w:font w:name="Georgia">
    <w:panose1 w:val="02040502050405020303"/>
    <w:charset w:val="00"/>
    <w:family w:val="auto"/>
    <w:pitch w:val="default"/>
    <w:embedRegular r:id="rId5" w:fontKey="{F5B93D4C-6431-4FEA-B226-B39D80939E37}"/>
    <w:embedItalic r:id="rId6" w:fontKey="{8944B42E-C293-481E-B2DE-8AAC06239B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6B55140-D927-4FA7-8173-DEDB3134B4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F10CA4"/>
    <w:multiLevelType w:val="multilevel"/>
    <w:tmpl w:val="5C80175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917" w:hanging="710"/>
      </w:pPr>
      <w:rPr>
        <w:rFonts w:ascii="Arial" w:eastAsia="Arial" w:hAnsi="Arial" w:cs="Arial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069" w:hanging="720"/>
      </w:pPr>
      <w:rPr>
        <w:rFonts w:ascii="Arial" w:eastAsia="Arial" w:hAnsi="Arial" w:cs="Arial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920" w:hanging="720"/>
      </w:pPr>
      <w:rPr>
        <w:rFonts w:ascii="Barlow" w:eastAsia="Barlow" w:hAnsi="Barlow" w:cs="Barlow"/>
        <w:b w:val="0"/>
        <w:color w:val="00000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Barlow" w:eastAsia="Barlow" w:hAnsi="Barlow" w:cs="Barlow"/>
        <w:color w:val="000000"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7C2E4DBF"/>
    <w:multiLevelType w:val="multilevel"/>
    <w:tmpl w:val="2D0227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240" w:hanging="720"/>
      </w:pPr>
    </w:lvl>
    <w:lvl w:ilvl="4">
      <w:start w:val="1"/>
      <w:numFmt w:val="decimal"/>
      <w:lvlText w:val="%1.%2.%3.%4.%5."/>
      <w:lvlJc w:val="left"/>
      <w:pPr>
        <w:ind w:left="4320" w:hanging="1080"/>
      </w:pPr>
    </w:lvl>
    <w:lvl w:ilvl="5">
      <w:start w:val="1"/>
      <w:numFmt w:val="decimal"/>
      <w:lvlText w:val="%1.%2.%3.%4.%5.%6."/>
      <w:lvlJc w:val="left"/>
      <w:pPr>
        <w:ind w:left="5040" w:hanging="1080"/>
      </w:pPr>
    </w:lvl>
    <w:lvl w:ilvl="6">
      <w:start w:val="1"/>
      <w:numFmt w:val="decimal"/>
      <w:lvlText w:val="%1.%2.%3.%4.%5.%6.%7."/>
      <w:lvlJc w:val="left"/>
      <w:pPr>
        <w:ind w:left="6120" w:hanging="1440"/>
      </w:pPr>
    </w:lvl>
    <w:lvl w:ilvl="7">
      <w:start w:val="1"/>
      <w:numFmt w:val="decimal"/>
      <w:lvlText w:val="%1.%2.%3.%4.%5.%6.%7.%8."/>
      <w:lvlJc w:val="left"/>
      <w:pPr>
        <w:ind w:left="6840" w:hanging="1440"/>
      </w:pPr>
    </w:lvl>
    <w:lvl w:ilvl="8">
      <w:start w:val="1"/>
      <w:numFmt w:val="decimal"/>
      <w:lvlText w:val="%1.%2.%3.%4.%5.%6.%7.%8.%9."/>
      <w:lvlJc w:val="left"/>
      <w:pPr>
        <w:ind w:left="7920" w:hanging="1800"/>
      </w:pPr>
    </w:lvl>
  </w:abstractNum>
  <w:num w:numId="1" w16cid:durableId="633759355">
    <w:abstractNumId w:val="1"/>
  </w:num>
  <w:num w:numId="2" w16cid:durableId="238487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773"/>
    <w:rsid w:val="00552D04"/>
    <w:rsid w:val="00657773"/>
    <w:rsid w:val="00C8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77E6C0-DD66-45AB-9FD7-DB13A3FE5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31DB4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0"/>
      <w:outlineLvl w:val="0"/>
    </w:pPr>
    <w:rPr>
      <w:color w:val="2F5496"/>
      <w:sz w:val="32"/>
      <w:szCs w:val="32"/>
      <w:lang w:val="pt-PT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831DB4"/>
    <w:rPr>
      <w:rFonts w:ascii="Calibri" w:eastAsia="Calibri" w:hAnsi="Calibri" w:cs="Calibri"/>
      <w:color w:val="2F5496"/>
      <w:sz w:val="32"/>
      <w:szCs w:val="32"/>
      <w:lang w:val="pt-PT" w:eastAsia="pt-BR"/>
    </w:rPr>
  </w:style>
  <w:style w:type="paragraph" w:styleId="PargrafodaLista">
    <w:name w:val="List Paragraph"/>
    <w:basedOn w:val="Normal"/>
    <w:uiPriority w:val="1"/>
    <w:qFormat/>
    <w:rsid w:val="00831DB4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831DB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31DB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31DB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1DB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31DB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1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1DB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C727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C727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73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G/Gib/8jVvug7FpWkepI7OeGnw==">CgMxLjAaJwoBMBIiCiAIBCocCgtBQUFCaUc4NWU5TRAIGgtBQUFCaUc4NWU5TRonCgExEiIKIAgEKhwKC0FBQUJpRzg1ZTlNEAgaC0FBQUJpWGRVZVJzGicKATISIgogCAQqHAoLQUFBQmZrdXRsYmsQCBoLQUFBQmZrdXRsYmsi+BIKC0FBQUJpRzg1ZTlNEsYSCgtBQUFCaUc4NWU5TRILQUFBQmlHODVlOU0a9wQKCXRleHQvaHRtbBLpBEA8YSBocmVmPSJtYWlsdG86YW5kcmVpLmFtYXJhbDc3QGdtYWlsLmNvbSIgdGFyZ2V0PSJfYmxhbmsiPmFuZHJlaS5hbWFyYWw3N0BnbWFpbC5jb208L2E+IEVzc2EgZXNwZWNpZmljYcOnw6NvIGFwb250YSBjbGFyYW1lbnRlIHBhcmEgU3RhcmxpbmssIGNlcnRvPzxicj48YnI+TyBxdWUgYWNoYSBkZSBhbGdvIG5lc3NlIHNlbnRpZG86PGJyPuKAnEEgc29sdcOnw6NvIGRldmUgc2VyIGJhc2VhZGEgZW0gYW50ZW5hIGNvbSBhdXRvLW9yaWVudGHDp8OjbyBlIG9wZXJhw6fDo28gYXV0b21hdGl6YWRhLCBjb20gY2FwYWNpZGFkZSBwYXJhIHJhc3RyZWFtZW50byBjb250w61udW8gZGUgc2F0w6lsaXRlcyBkZSBiYWl4YSDDs3JiaXRhIGUgY29tIHJvYnVzdGV6IGFkZXF1YWRhIHBhcmEgaW5zdGFsYcOnw6NvIGV4dGVybmEuIFBvZGVyw6Egc2VyIHV0aWxpemFkYSB0ZWNub2xvZ2lhIGRlIG1hdHJpeiBmYXNlYWRhIG91IHNvbHXDp8OjbyBlcXVpdmFsZW50ZSwgZGVzZGUgcXVlIGF0ZW5kYSBhb3MgcmVxdWlzaXRvcyBvcGVyYWNpb25haXMgZGUgbGF0w6puY2lhLCBkaXNwb25pYmlsaWRhZGUgZSByZXNpc3TDqm5jaWEgYW1iaWVudGFsIGVzdGFiZWxlY2lkb3MgbmVzdGUgVGVybW8u4oCdIrAECgp0ZXh0L3BsYWluEqEEQGFuZHJlaS5hbWFyYWw3N0BnbWFpbC5jb20gRXNzYSBlc3BlY2lmaWNhw6fDo28gYXBvbnRhIGNsYXJhbWVudGUgcGFyYSBTdGFybGluaywgY2VydG8/CgpPIHF1ZSBhY2hhIGRlIGFsZ28gbmVzc2Ugc2VudGlkbzoK4oCcQSBzb2x1w6fDo28gZGV2ZSBzZXIgYmFzZWFkYSBlbSBhbnRlbmEgY29tIGF1dG8tb3JpZW50YcOnw6NvIGUgb3BlcmHDp8OjbyBhdXRvbWF0aXphZGEsIGNvbSBjYXBhY2lkYWRlIHBhcmEgcmFzdHJlYW1lbnRvIGNvbnTDrW51byBkZSBzYXTDqWxpdGVzIGRlIGJhaXhhIMOzcmJpdGEgZSBjb20gcm9idXN0ZXogYWRlcXVhZGEgcGFyYSBpbnN0YWxhw6fDo28gZXh0ZXJuYS4gUG9kZXLDoSBzZXIgdXRpbGl6YWRhIHRlY25vbG9naWEgZGUgbWF0cml6IGZhc2VhZGEgb3Ugc29sdcOnw6NvIGVxdWl2YWxlbnRlLCBkZXNkZSBxdWUgYXRlbmRhIGFvcyByZXF1aXNpdG9zIG9wZXJhY2lvbmFpcyBkZSBsYXTDqm5jaWEsIGRpc3BvbmliaWxpZGFkZSBlIHJlc2lzdMOqbmNpYSBhbWJpZW50YWwgZXN0YWJlbGVjaWRvcyBuZXN0ZSBUZXJtby7igJ0qGyIVMTE3NTc4NzUwOTI1MzU0ODEyODUxKAA4ADCjycOw5DI4gfmk9OUyQrsDCgtBQUFCaVhkVWVScxILQUFBQmlHODVlOU0acwoJdGV4dC9odG1sEmZPaSwgYm9hIHRhcmRlLjxicj48YnI+QWNobyBxdWUgZmljb3Ugb3RpbWEgYSBlc3BlY2lmaWNhw6fDo28sIHBvZGVtb3MgdHJvY2FyIHNpbSwgbsOjbyB2ZWpvIHByb2JsZW1hcyEibgoKdGV4dC9wbGFpbhJgT2ksIGJvYSB0YXJkZS4KCkFjaG8gcXVlIGZpY291IG90aW1hIGEgZXNwZWNpZmljYcOnw6NvLCBwb2RlbW9zIHRyb2NhciBzaW0sIG7Do28gdmVqbyBwcm9ibGVtYXMhKhsiFTEwMjA5ODk4NTM5MzA2NjA4MzY4MCgAOAAwgfmk9OUyOIH5pPTlMloMa3R0ZzRib2l0Mmt1cgIgAHgAiAECmgEGCAAQABgAqgFoEmZPaSwgYm9hIHRhcmRlLjxicj48YnI+QWNobyBxdWUgZmljb3Ugb3RpbWEgYSBlc3BlY2lmaWNhw6fDo28sIHBvZGVtb3MgdHJvY2FyIHNpbSwgbsOjbyB2ZWpvIHByb2JsZW1hcyGwAQC4AQFaDGRxOWd4N2NnbXN5dXICIAB4AIgBApoBBggAEAAYAKoB7AQS6QRAPGEgaHJlZj0ibWFpbHRvOmFuZHJlaS5hbWFyYWw3N0BnbWFpbC5jb20iIHRhcmdldD0iX2JsYW5rIj5hbmRyZWkuYW1hcmFsNzdAZ21haWwuY29tPC9hPiBFc3NhIGVzcGVjaWZpY2HDp8OjbyBhcG9udGEgY2xhcmFtZW50ZSBwYXJhIFN0YXJsaW5rLCBjZXJ0bz88YnI+PGJyPk8gcXVlIGFjaGEgZGUgYWxnbyBuZXNzZSBzZW50aWRvOjxicj7igJxBIHNvbHXDp8OjbyBkZXZlIHNlciBiYXNlYWRhIGVtIGFudGVuYSBjb20gYXV0by1vcmllbnRhw6fDo28gZSBvcGVyYcOnw6NvIGF1dG9tYXRpemFkYSwgY29tIGNhcGFjaWRhZGUgcGFyYSByYXN0cmVhbWVudG8gY29udMOtbnVvIGRlIHNhdMOpbGl0ZXMgZGUgYmFpeGEgw7NyYml0YSBlIGNvbSByb2J1c3RleiBhZGVxdWFkYSBwYXJhIGluc3RhbGHDp8OjbyBleHRlcm5hLiBQb2RlcsOhIHNlciB1dGlsaXphZGEgdGVjbm9sb2dpYSBkZSBtYXRyaXogZmFzZWFkYSBvdSBzb2x1w6fDo28gZXF1aXZhbGVudGUsIGRlc2RlIHF1ZSBhdGVuZGEgYW9zIHJlcXVpc2l0b3Mgb3BlcmFjaW9uYWlzIGRlIGxhdMOqbmNpYSwgZGlzcG9uaWJpbGlkYWRlIGUgcmVzaXN0w6puY2lhIGFtYmllbnRhbCBlc3RhYmVsZWNpZG9zIG5lc3RlIFRlcm1vLuKAnbABALgBARijycOw5DIggfmk9OUyMABCEGtpeC4xMzNrcnBibjJsazYisgMKC0FBQUJma3V0bGJrEogDCgtBQUFCZmt1dGxiaxILQUFBQmZrdXRsYmsaOwoJdGV4dC9odG1sEi5QcmVjaXNhbW9zIHZlciBlc3NlIMOtbmRpY2UgZGUgZGlzcG9uaWJpbGlkYWRlIjwKCnRleHQvcGxhaW4SLlByZWNpc2Ftb3MgdmVyIGVzc2Ugw61uZGljZSBkZSBkaXNwb25pYmlsaWRhZGUqTAoTQW5kcmVpIEVsaWFzIEFtYXJhbBo1Ly9zc2wuZ3N0YXRpYy5jb20vZG9jcy9jb21tb24vYmx1ZV9zaWxob3VldHRlOTYtMC5wbmcwgOyK4LEyOIDsiuCxMnJOChNBbmRyZWkgRWxpYXMgQW1hcmFsGjcKNS8vc3NsLmdzdGF0aWMuY29tL2RvY3MvY29tbW9uL2JsdWVfc2lsaG91ZXR0ZTk2LTAucG5neACIAQGaAQYIABAAGACqATASLlByZWNpc2Ftb3MgdmVyIGVzc2Ugw61uZGljZSBkZSBkaXNwb25pYmlsaWRhZGWwAQC4AQEYgOyK4LEyIIDsiuCxMjAAQghraXguY210MDIOaC5iOXQ4dGNwM2F6czIyCGgud255YWd3MghoLmdqZGd4czgAciExdDlRLVhodkFxb1VmbkNZZmMybVZmaGh3MVBDempnL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705</Words>
  <Characters>3842</Characters>
  <Application>Microsoft Office Word</Application>
  <DocSecurity>0</DocSecurity>
  <Lines>80</Lines>
  <Paragraphs>46</Paragraphs>
  <ScaleCrop>false</ScaleCrop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Elias Amaral</dc:creator>
  <cp:lastModifiedBy>Nathan De Castro</cp:lastModifiedBy>
  <cp:revision>2</cp:revision>
  <dcterms:created xsi:type="dcterms:W3CDTF">2025-10-21T20:40:00Z</dcterms:created>
  <dcterms:modified xsi:type="dcterms:W3CDTF">2025-10-21T20:40:00Z</dcterms:modified>
</cp:coreProperties>
</file>